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3D9" w14:textId="77777777" w:rsidR="000966BA" w:rsidRDefault="000966BA" w:rsidP="00D64ED8">
      <w:pPr>
        <w:spacing w:after="0" w:line="240" w:lineRule="auto"/>
        <w:jc w:val="center"/>
        <w:rPr>
          <w:rFonts w:ascii="Calibri" w:hAnsi="Calibri" w:cs="Calibri"/>
          <w:b/>
          <w:color w:val="142E8F"/>
          <w:sz w:val="40"/>
          <w:szCs w:val="48"/>
        </w:rPr>
      </w:pPr>
    </w:p>
    <w:p w14:paraId="479DAC5A" w14:textId="5DAA4AEA" w:rsidR="00581176" w:rsidRDefault="007A0D77" w:rsidP="00DC01DB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1001DB30" w14:textId="77777777" w:rsidR="003977AD" w:rsidRDefault="003977AD" w:rsidP="00DC01DB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</w:p>
    <w:p w14:paraId="32427616" w14:textId="3AB905EE" w:rsidR="003977AD" w:rsidRPr="003977AD" w:rsidRDefault="003977AD" w:rsidP="00DC01DB">
      <w:pPr>
        <w:spacing w:after="0" w:line="240" w:lineRule="auto"/>
        <w:jc w:val="center"/>
        <w:rPr>
          <w:rFonts w:ascii="Calibri" w:hAnsi="Calibri" w:cs="Calibri"/>
          <w:b/>
          <w:color w:val="2A556E"/>
          <w:sz w:val="36"/>
          <w:szCs w:val="28"/>
        </w:rPr>
      </w:pPr>
      <w:r w:rsidRPr="003977AD">
        <w:rPr>
          <w:rFonts w:ascii="Calibri" w:hAnsi="Calibri" w:cs="Calibri"/>
          <w:b/>
          <w:color w:val="2A556E"/>
          <w:sz w:val="36"/>
          <w:szCs w:val="28"/>
        </w:rPr>
        <w:t xml:space="preserve">La césure </w:t>
      </w:r>
    </w:p>
    <w:p w14:paraId="6908E5A5" w14:textId="77777777" w:rsidR="00DC01DB" w:rsidRPr="00DC01DB" w:rsidRDefault="00DC01DB" w:rsidP="00DC01DB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</w:p>
    <w:p w14:paraId="717B1470" w14:textId="77777777" w:rsidR="003977AD" w:rsidRPr="003977AD" w:rsidRDefault="003977AD" w:rsidP="003977AD">
      <w:pPr>
        <w:keepNext/>
        <w:keepLines/>
        <w:spacing w:after="0"/>
        <w:outlineLvl w:val="0"/>
        <w:rPr>
          <w:rFonts w:eastAsiaTheme="majorEastAsia" w:cstheme="majorBidi"/>
          <w:b/>
          <w:bCs/>
          <w:color w:val="3D566E"/>
          <w:sz w:val="32"/>
          <w:szCs w:val="28"/>
        </w:rPr>
      </w:pPr>
      <w:r w:rsidRPr="003977AD">
        <w:rPr>
          <w:rFonts w:eastAsiaTheme="majorEastAsia" w:cstheme="majorBidi"/>
          <w:b/>
          <w:bCs/>
          <w:color w:val="3D566E"/>
          <w:sz w:val="28"/>
          <w:szCs w:val="28"/>
        </w:rPr>
        <w:t>Qu’est-ce que la césure ?</w:t>
      </w:r>
    </w:p>
    <w:p w14:paraId="19CC1296" w14:textId="241B4BC7" w:rsidR="003977AD" w:rsidRPr="003977AD" w:rsidRDefault="00433017" w:rsidP="003977AD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72B"/>
          <w:lang w:eastAsia="fr-FR"/>
        </w:rPr>
      </w:pPr>
      <w:r>
        <w:rPr>
          <w:rFonts w:eastAsia="Times New Roman" w:cs="Arial"/>
          <w:bCs/>
          <w:color w:val="22272B"/>
          <w:lang w:eastAsia="fr-FR"/>
        </w:rPr>
        <w:t xml:space="preserve">S’il le souhaite, l’étudiant peut demander une </w:t>
      </w:r>
      <w:r w:rsidR="003977AD" w:rsidRPr="003977AD">
        <w:rPr>
          <w:rFonts w:eastAsia="Times New Roman" w:cs="Arial"/>
          <w:bCs/>
          <w:color w:val="22272B"/>
          <w:lang w:eastAsia="fr-FR"/>
        </w:rPr>
        <w:t>césure</w:t>
      </w:r>
      <w:r>
        <w:rPr>
          <w:rFonts w:eastAsia="Times New Roman" w:cs="Arial"/>
          <w:bCs/>
          <w:color w:val="22272B"/>
          <w:lang w:eastAsia="fr-FR"/>
        </w:rPr>
        <w:t>,</w:t>
      </w:r>
      <w:r w:rsidR="003977AD" w:rsidRPr="003977AD">
        <w:rPr>
          <w:rFonts w:eastAsia="Times New Roman" w:cs="Arial"/>
          <w:color w:val="22272B"/>
          <w:lang w:eastAsia="fr-FR"/>
        </w:rPr>
        <w:t xml:space="preserve"> </w:t>
      </w:r>
      <w:r>
        <w:rPr>
          <w:rFonts w:eastAsia="Times New Roman" w:cs="Arial"/>
          <w:color w:val="22272B"/>
          <w:lang w:eastAsia="fr-FR"/>
        </w:rPr>
        <w:t xml:space="preserve">période </w:t>
      </w:r>
      <w:bookmarkStart w:id="0" w:name="_GoBack"/>
      <w:bookmarkEnd w:id="0"/>
      <w:r w:rsidR="003977AD" w:rsidRPr="003977AD">
        <w:rPr>
          <w:rFonts w:eastAsia="Times New Roman" w:cs="Arial"/>
          <w:color w:val="22272B"/>
          <w:lang w:eastAsia="fr-FR"/>
        </w:rPr>
        <w:t xml:space="preserve">d’une durée maximale de deux semestres consécutifs pendant laquelle l’étudiant, inscrit dans une formation d‘enseignement supérieur, </w:t>
      </w:r>
      <w:r w:rsidR="003977AD" w:rsidRPr="003977AD">
        <w:rPr>
          <w:rFonts w:eastAsia="Times New Roman" w:cs="Arial"/>
          <w:b/>
          <w:color w:val="22272B"/>
          <w:lang w:eastAsia="fr-FR"/>
        </w:rPr>
        <w:t>suspend celle-ci temporairement dans le but d’acquérir une expérience utile</w:t>
      </w:r>
      <w:r w:rsidR="003977AD" w:rsidRPr="003977AD">
        <w:rPr>
          <w:rFonts w:eastAsia="Times New Roman" w:cs="Arial"/>
          <w:color w:val="22272B"/>
          <w:lang w:eastAsia="fr-FR"/>
        </w:rPr>
        <w:t xml:space="preserve"> </w:t>
      </w:r>
      <w:r w:rsidR="003977AD" w:rsidRPr="003977AD">
        <w:rPr>
          <w:rFonts w:eastAsia="Times New Roman" w:cs="Arial"/>
          <w:b/>
          <w:color w:val="22272B"/>
          <w:lang w:eastAsia="fr-FR"/>
        </w:rPr>
        <w:t>pour sa formation</w:t>
      </w:r>
      <w:r w:rsidR="003977AD" w:rsidRPr="003977AD">
        <w:rPr>
          <w:rFonts w:eastAsia="Times New Roman" w:cs="Arial"/>
          <w:color w:val="22272B"/>
          <w:lang w:eastAsia="fr-FR"/>
        </w:rPr>
        <w:t xml:space="preserve"> ou pour favoriser son projet personnel ou professionnel.</w:t>
      </w:r>
    </w:p>
    <w:p w14:paraId="44F1CEBF" w14:textId="715D4AE3" w:rsidR="003977AD" w:rsidRPr="003977AD" w:rsidRDefault="003977AD" w:rsidP="003977AD">
      <w:pPr>
        <w:shd w:val="clear" w:color="auto" w:fill="FFFFFF"/>
        <w:spacing w:after="100" w:afterAutospacing="1" w:line="240" w:lineRule="auto"/>
        <w:jc w:val="both"/>
        <w:rPr>
          <w:rFonts w:cs="Calibri"/>
        </w:rPr>
      </w:pPr>
      <w:r w:rsidRPr="003977AD">
        <w:rPr>
          <w:rFonts w:cs="Calibri"/>
        </w:rPr>
        <w:t xml:space="preserve">La période de césure peut prendre des </w:t>
      </w:r>
      <w:r w:rsidRPr="003977AD">
        <w:rPr>
          <w:rFonts w:cs="Calibri"/>
          <w:b/>
          <w:bCs/>
        </w:rPr>
        <w:t>formes diverses</w:t>
      </w:r>
      <w:r w:rsidRPr="003977AD">
        <w:rPr>
          <w:rFonts w:cs="Calibri"/>
        </w:rPr>
        <w:t xml:space="preserve"> : une mobilité internationale, un projet professionnel, entrepreneurial, a</w:t>
      </w:r>
      <w:r w:rsidR="00832177">
        <w:rPr>
          <w:rFonts w:cs="Calibri"/>
        </w:rPr>
        <w:t>ssociatif, civique ou personnel, etc.</w:t>
      </w:r>
    </w:p>
    <w:p w14:paraId="0B954F74" w14:textId="77777777" w:rsidR="003977AD" w:rsidRPr="003977AD" w:rsidRDefault="003977AD" w:rsidP="003977A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3D566E"/>
          <w:sz w:val="28"/>
          <w:szCs w:val="26"/>
        </w:rPr>
      </w:pPr>
      <w:r w:rsidRPr="003977AD">
        <w:rPr>
          <w:rFonts w:eastAsiaTheme="majorEastAsia" w:cstheme="majorBidi"/>
          <w:b/>
          <w:bCs/>
          <w:color w:val="3D566E"/>
          <w:sz w:val="28"/>
          <w:szCs w:val="26"/>
        </w:rPr>
        <w:t>Quel public ?</w:t>
      </w:r>
    </w:p>
    <w:p w14:paraId="7A15D55A" w14:textId="77777777" w:rsidR="003977AD" w:rsidRPr="003977AD" w:rsidRDefault="003977AD" w:rsidP="003977AD">
      <w:pPr>
        <w:shd w:val="clear" w:color="auto" w:fill="FFFFFF"/>
        <w:spacing w:before="120" w:after="240" w:line="240" w:lineRule="auto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color w:val="22272B"/>
          <w:lang w:eastAsia="fr-FR"/>
        </w:rPr>
        <w:t xml:space="preserve">Sont concernés par la césure </w:t>
      </w:r>
      <w:r w:rsidRPr="003977AD">
        <w:rPr>
          <w:rFonts w:eastAsia="Times New Roman" w:cs="Arial"/>
          <w:b/>
          <w:bCs/>
          <w:color w:val="22272B"/>
          <w:lang w:eastAsia="fr-FR"/>
        </w:rPr>
        <w:t>les étudiants inscrits dans une formation d’enseignement supérieur</w:t>
      </w:r>
      <w:r w:rsidRPr="003977AD">
        <w:rPr>
          <w:rFonts w:eastAsia="Times New Roman" w:cs="Arial"/>
          <w:color w:val="22272B"/>
          <w:lang w:eastAsia="fr-FR"/>
        </w:rPr>
        <w:t>.</w:t>
      </w:r>
    </w:p>
    <w:p w14:paraId="32A6D116" w14:textId="77777777" w:rsidR="003977AD" w:rsidRPr="003977AD" w:rsidRDefault="003977AD" w:rsidP="003977A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3D566E"/>
          <w:sz w:val="28"/>
          <w:szCs w:val="26"/>
        </w:rPr>
      </w:pPr>
      <w:r w:rsidRPr="003977AD">
        <w:rPr>
          <w:rFonts w:eastAsiaTheme="majorEastAsia" w:cstheme="majorBidi"/>
          <w:b/>
          <w:bCs/>
          <w:color w:val="3D566E"/>
          <w:sz w:val="28"/>
          <w:szCs w:val="26"/>
        </w:rPr>
        <w:t>Quelle durée ?</w:t>
      </w:r>
    </w:p>
    <w:p w14:paraId="44B00857" w14:textId="77777777" w:rsidR="003977AD" w:rsidRPr="003977AD" w:rsidRDefault="003977AD" w:rsidP="003977AD">
      <w:pPr>
        <w:spacing w:after="0" w:line="240" w:lineRule="auto"/>
        <w:jc w:val="both"/>
      </w:pPr>
      <w:r w:rsidRPr="003977AD">
        <w:rPr>
          <w:rFonts w:eastAsia="Times New Roman" w:cs="Arial"/>
          <w:color w:val="22272B"/>
          <w:lang w:eastAsia="fr-FR"/>
        </w:rPr>
        <w:t xml:space="preserve">La </w:t>
      </w:r>
      <w:r w:rsidRPr="003977AD">
        <w:rPr>
          <w:rFonts w:cstheme="minorHAnsi"/>
        </w:rPr>
        <w:t>durée</w:t>
      </w:r>
      <w:r w:rsidRPr="003977AD">
        <w:rPr>
          <w:rFonts w:eastAsia="Times New Roman" w:cs="Arial"/>
          <w:color w:val="22272B"/>
          <w:lang w:eastAsia="fr-FR"/>
        </w:rPr>
        <w:t xml:space="preserve"> d’une</w:t>
      </w:r>
      <w:r w:rsidRPr="003977AD">
        <w:t xml:space="preserve"> césure peut varier d’</w:t>
      </w:r>
      <w:r w:rsidRPr="003977AD">
        <w:rPr>
          <w:b/>
          <w:bCs/>
        </w:rPr>
        <w:t xml:space="preserve">un semestre universitaire </w:t>
      </w:r>
      <w:r w:rsidRPr="00E064A3">
        <w:rPr>
          <w:bCs/>
        </w:rPr>
        <w:t>(</w:t>
      </w:r>
      <w:r w:rsidRPr="003977AD">
        <w:t xml:space="preserve">période indivisible de 6 mois débutant obligatoirement en même temps qu’un semestre universitaire) </w:t>
      </w:r>
      <w:r w:rsidRPr="003977AD">
        <w:rPr>
          <w:b/>
        </w:rPr>
        <w:t>à une année universitaire.</w:t>
      </w:r>
      <w:r w:rsidRPr="003977AD">
        <w:t xml:space="preserve"> Cette durée doit être compatible avec l’organisation de la formation dans laquelle est inscrit l’étudiant. </w:t>
      </w:r>
    </w:p>
    <w:p w14:paraId="303CD928" w14:textId="77777777" w:rsidR="003977AD" w:rsidRPr="003977AD" w:rsidRDefault="003977AD" w:rsidP="003977A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3D566E"/>
          <w:sz w:val="28"/>
          <w:szCs w:val="26"/>
        </w:rPr>
      </w:pPr>
      <w:r w:rsidRPr="003977AD">
        <w:rPr>
          <w:rFonts w:eastAsiaTheme="majorEastAsia" w:cstheme="majorBidi"/>
          <w:b/>
          <w:bCs/>
          <w:color w:val="3D566E"/>
          <w:sz w:val="28"/>
          <w:szCs w:val="26"/>
        </w:rPr>
        <w:t xml:space="preserve">Comment exprimer son souhait de césure sur </w:t>
      </w:r>
      <w:proofErr w:type="spellStart"/>
      <w:r w:rsidRPr="003977AD">
        <w:rPr>
          <w:rFonts w:eastAsiaTheme="majorEastAsia" w:cstheme="majorBidi"/>
          <w:b/>
          <w:bCs/>
          <w:color w:val="3D566E"/>
          <w:sz w:val="28"/>
          <w:szCs w:val="26"/>
        </w:rPr>
        <w:t>Parcoursup</w:t>
      </w:r>
      <w:proofErr w:type="spellEnd"/>
      <w:r w:rsidRPr="003977AD">
        <w:rPr>
          <w:rFonts w:eastAsiaTheme="majorEastAsia" w:cstheme="majorBidi"/>
          <w:b/>
          <w:bCs/>
          <w:color w:val="3D566E"/>
          <w:sz w:val="28"/>
          <w:szCs w:val="26"/>
        </w:rPr>
        <w:t xml:space="preserve"> ? </w:t>
      </w:r>
    </w:p>
    <w:p w14:paraId="2963AE6C" w14:textId="77777777" w:rsidR="003977AD" w:rsidRPr="003977AD" w:rsidRDefault="003977AD" w:rsidP="003977AD">
      <w:pPr>
        <w:spacing w:after="0" w:line="240" w:lineRule="auto"/>
        <w:jc w:val="both"/>
      </w:pPr>
      <w:r w:rsidRPr="003977AD">
        <w:rPr>
          <w:rFonts w:eastAsia="Times New Roman" w:cs="Arial"/>
          <w:color w:val="22272B"/>
          <w:lang w:eastAsia="fr-FR"/>
        </w:rPr>
        <w:t xml:space="preserve">La </w:t>
      </w:r>
      <w:r w:rsidRPr="003977AD">
        <w:t xml:space="preserve">demande de césure </w:t>
      </w:r>
      <w:r w:rsidRPr="003977AD">
        <w:rPr>
          <w:b/>
        </w:rPr>
        <w:t xml:space="preserve">est faite lors de la saisie des vœux sur </w:t>
      </w:r>
      <w:proofErr w:type="spellStart"/>
      <w:r w:rsidRPr="003977AD">
        <w:rPr>
          <w:b/>
        </w:rPr>
        <w:t>Parcoursup</w:t>
      </w:r>
      <w:proofErr w:type="spellEnd"/>
      <w:r w:rsidRPr="003977AD">
        <w:rPr>
          <w:b/>
        </w:rPr>
        <w:t xml:space="preserve">, entre le 22 janvier et le 13 mars. </w:t>
      </w:r>
      <w:r w:rsidRPr="003977AD">
        <w:t>Une case à cocher est dédiée à cet effet.</w:t>
      </w:r>
    </w:p>
    <w:p w14:paraId="7027255F" w14:textId="66AB5F46" w:rsidR="003977AD" w:rsidRPr="003977AD" w:rsidRDefault="003977AD" w:rsidP="003977AD">
      <w:pPr>
        <w:tabs>
          <w:tab w:val="num" w:pos="1440"/>
        </w:tabs>
        <w:autoSpaceDE w:val="0"/>
        <w:autoSpaceDN w:val="0"/>
        <w:adjustRightInd w:val="0"/>
        <w:spacing w:before="120" w:after="0" w:line="240" w:lineRule="auto"/>
      </w:pPr>
      <w:r w:rsidRPr="003977AD">
        <w:rPr>
          <w:rFonts w:eastAsia="Times New Roman" w:cs="Arial"/>
          <w:b/>
          <w:color w:val="3D566E"/>
          <w:lang w:eastAsia="fr-FR"/>
        </w:rPr>
        <w:t xml:space="preserve">Exemple : </w:t>
      </w:r>
      <w:r w:rsidRPr="003977AD">
        <w:t>lorsqu’u</w:t>
      </w:r>
      <w:r w:rsidR="00F72AFE">
        <w:t xml:space="preserve">n lycéen formule un vœu pour une licence de chimie, </w:t>
      </w:r>
      <w:r w:rsidRPr="003977AD">
        <w:t xml:space="preserve">il peut exprimer une demande de césure lors de sa première année. Cette information est portée à la connaissance </w:t>
      </w:r>
    </w:p>
    <w:p w14:paraId="28D199EF" w14:textId="0D2CE5E0" w:rsidR="003977AD" w:rsidRPr="003977AD" w:rsidRDefault="003977AD" w:rsidP="003977AD">
      <w:pPr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3977AD">
        <w:t>de la commission d’accès à l’enseignement supérieur</w:t>
      </w:r>
      <w:r w:rsidR="00832177">
        <w:t> ;</w:t>
      </w:r>
      <w:r w:rsidRPr="003977AD">
        <w:t xml:space="preserve"> </w:t>
      </w:r>
    </w:p>
    <w:p w14:paraId="0C0B395F" w14:textId="0E7B7747" w:rsidR="003977AD" w:rsidRPr="003977AD" w:rsidRDefault="003977AD" w:rsidP="003977AD">
      <w:pPr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contextualSpacing/>
        <w:jc w:val="both"/>
      </w:pPr>
      <w:r w:rsidRPr="003977AD">
        <w:t>des établissements uniquement au moment de l’inscription administrative</w:t>
      </w:r>
      <w:r w:rsidR="00832177">
        <w:t>.</w:t>
      </w:r>
    </w:p>
    <w:p w14:paraId="25A4B94C" w14:textId="77777777" w:rsidR="003977AD" w:rsidRPr="003977AD" w:rsidRDefault="003977AD" w:rsidP="003977A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3D566E"/>
          <w:sz w:val="28"/>
          <w:szCs w:val="26"/>
        </w:rPr>
      </w:pPr>
      <w:r w:rsidRPr="003977AD">
        <w:rPr>
          <w:rFonts w:eastAsiaTheme="majorEastAsia" w:cstheme="majorBidi"/>
          <w:b/>
          <w:bCs/>
          <w:color w:val="3D566E"/>
          <w:sz w:val="28"/>
          <w:szCs w:val="26"/>
        </w:rPr>
        <w:t>Formalisation de la césure 3 étapes</w:t>
      </w:r>
    </w:p>
    <w:p w14:paraId="3B654C89" w14:textId="77777777" w:rsidR="003977AD" w:rsidRPr="003977AD" w:rsidRDefault="003977AD" w:rsidP="003977AD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color w:val="22272B"/>
          <w:lang w:eastAsia="fr-FR"/>
        </w:rPr>
        <w:t xml:space="preserve">La césure n’est pas accordée de droit : </w:t>
      </w:r>
    </w:p>
    <w:p w14:paraId="3835F8E4" w14:textId="39A5E2F6" w:rsidR="003977AD" w:rsidRPr="003977AD" w:rsidRDefault="003977AD" w:rsidP="003977AD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b/>
          <w:color w:val="22272B"/>
          <w:lang w:eastAsia="fr-FR"/>
        </w:rPr>
        <w:t>elle est demandée par le futur étudiant</w:t>
      </w:r>
      <w:r w:rsidRPr="003977AD">
        <w:rPr>
          <w:rFonts w:eastAsia="Times New Roman" w:cs="Arial"/>
          <w:color w:val="22272B"/>
          <w:lang w:eastAsia="fr-FR"/>
        </w:rPr>
        <w:t xml:space="preserve"> au moment de la saisie de ses vœux (une proposition d’admission dans la formation ne signifie pas qu’il y a accord pour le souhait de césure exprimé)</w:t>
      </w:r>
      <w:r w:rsidR="00832177">
        <w:rPr>
          <w:rFonts w:eastAsia="Times New Roman" w:cs="Arial"/>
          <w:color w:val="22272B"/>
          <w:lang w:eastAsia="fr-FR"/>
        </w:rPr>
        <w:t> ;</w:t>
      </w:r>
    </w:p>
    <w:p w14:paraId="099A037F" w14:textId="43F71F0C" w:rsidR="003977AD" w:rsidRPr="003977AD" w:rsidRDefault="003977AD" w:rsidP="003977AD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b/>
          <w:color w:val="22272B"/>
          <w:lang w:eastAsia="fr-FR"/>
        </w:rPr>
        <w:t>elle est accordée ou non par le président ou directeur de l’établissement après l’inscription administrative de l’étudiant</w:t>
      </w:r>
      <w:r w:rsidRPr="003977AD">
        <w:rPr>
          <w:rFonts w:eastAsia="Times New Roman" w:cs="Arial"/>
          <w:color w:val="22272B"/>
          <w:lang w:eastAsia="fr-FR"/>
        </w:rPr>
        <w:t> : un entretien pourra être organisé avant décision entre l’établissement et le candidat demandant une césure</w:t>
      </w:r>
      <w:r w:rsidR="00832177">
        <w:rPr>
          <w:rFonts w:eastAsia="Times New Roman" w:cs="Arial"/>
          <w:color w:val="22272B"/>
          <w:lang w:eastAsia="fr-FR"/>
        </w:rPr>
        <w:t> ;</w:t>
      </w:r>
    </w:p>
    <w:p w14:paraId="7484C93E" w14:textId="62CEE0C2" w:rsidR="003977AD" w:rsidRPr="003977AD" w:rsidRDefault="003977AD" w:rsidP="003977AD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b/>
          <w:color w:val="22272B"/>
          <w:lang w:eastAsia="fr-FR"/>
        </w:rPr>
        <w:t>une convention est conclue</w:t>
      </w:r>
      <w:r w:rsidRPr="003977AD">
        <w:rPr>
          <w:rFonts w:eastAsia="Times New Roman" w:cs="Arial"/>
          <w:color w:val="22272B"/>
          <w:lang w:eastAsia="fr-FR"/>
        </w:rPr>
        <w:t xml:space="preserve"> par l’établissement de formation d’enseignement supérieur avec l</w:t>
      </w:r>
      <w:r w:rsidR="00832177">
        <w:rPr>
          <w:rFonts w:eastAsia="Times New Roman" w:cs="Arial"/>
          <w:color w:val="22272B"/>
          <w:lang w:eastAsia="fr-FR"/>
        </w:rPr>
        <w:t>’étudiant après son inscription.</w:t>
      </w:r>
    </w:p>
    <w:p w14:paraId="252952E0" w14:textId="77777777" w:rsidR="003977AD" w:rsidRPr="003977AD" w:rsidRDefault="003977AD" w:rsidP="003977AD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color w:val="22272B"/>
          <w:lang w:eastAsia="fr-FR"/>
        </w:rPr>
        <w:t>Cette convention :</w:t>
      </w:r>
    </w:p>
    <w:p w14:paraId="3D5D1EE3" w14:textId="3F068317" w:rsidR="003977AD" w:rsidRPr="003977AD" w:rsidRDefault="003977AD" w:rsidP="003977AD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eastAsia="Times New Roman" w:cs="Arial"/>
          <w:b/>
          <w:color w:val="22272B"/>
          <w:lang w:eastAsia="fr-FR"/>
        </w:rPr>
        <w:t>garantit sa réintégration ou sa réinscription</w:t>
      </w:r>
      <w:r w:rsidRPr="003977AD">
        <w:rPr>
          <w:rFonts w:eastAsia="Times New Roman" w:cs="Arial"/>
          <w:color w:val="22272B"/>
          <w:lang w:eastAsia="fr-FR"/>
        </w:rPr>
        <w:t xml:space="preserve"> dans la formation à l’issue de la période de césure</w:t>
      </w:r>
      <w:r w:rsidR="00832177">
        <w:rPr>
          <w:rFonts w:eastAsia="Times New Roman" w:cs="Arial"/>
          <w:color w:val="22272B"/>
          <w:lang w:eastAsia="fr-FR"/>
        </w:rPr>
        <w:t> ;</w:t>
      </w:r>
    </w:p>
    <w:p w14:paraId="18981C89" w14:textId="77777777" w:rsidR="003977AD" w:rsidRPr="003977AD" w:rsidRDefault="003977AD" w:rsidP="003977AD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color w:val="22272B"/>
          <w:lang w:eastAsia="fr-FR"/>
        </w:rPr>
      </w:pPr>
    </w:p>
    <w:p w14:paraId="40267CD3" w14:textId="77777777" w:rsidR="008E42CB" w:rsidRPr="008E42CB" w:rsidRDefault="008E42CB" w:rsidP="008E42CB">
      <w:pPr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eastAsia="Times New Roman" w:cs="Arial"/>
          <w:color w:val="22272B"/>
          <w:lang w:eastAsia="fr-FR"/>
        </w:rPr>
      </w:pPr>
    </w:p>
    <w:p w14:paraId="1E8B82AC" w14:textId="77DFDE65" w:rsidR="003977AD" w:rsidRPr="003977AD" w:rsidRDefault="003977AD" w:rsidP="003977AD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color w:val="22272B"/>
          <w:lang w:eastAsia="fr-FR"/>
        </w:rPr>
      </w:pPr>
      <w:r w:rsidRPr="003977AD">
        <w:rPr>
          <w:rFonts w:cs="Calibri"/>
        </w:rPr>
        <w:t xml:space="preserve">demandera, </w:t>
      </w:r>
      <w:r w:rsidRPr="003977AD">
        <w:rPr>
          <w:rFonts w:cs="Calibri"/>
          <w:i/>
        </w:rPr>
        <w:t>a minima</w:t>
      </w:r>
      <w:r w:rsidRPr="003977AD">
        <w:rPr>
          <w:rFonts w:cs="Calibri"/>
        </w:rPr>
        <w:t xml:space="preserve">, à l’étudiant </w:t>
      </w:r>
      <w:r w:rsidRPr="003977AD">
        <w:rPr>
          <w:rFonts w:cs="Calibri"/>
          <w:b/>
        </w:rPr>
        <w:t>une restitution de son expérience</w:t>
      </w:r>
      <w:r w:rsidRPr="003977AD">
        <w:rPr>
          <w:rFonts w:cs="Calibri"/>
        </w:rPr>
        <w:t xml:space="preserve"> afin de pouvoir l’intégrer pleinement dans le cadre de son parcours de licence. D’autres modalités de suivi peuvent être mises en place par l’établissement</w:t>
      </w:r>
      <w:r w:rsidR="00832177">
        <w:rPr>
          <w:rFonts w:cs="Calibri"/>
        </w:rPr>
        <w:t>.</w:t>
      </w:r>
    </w:p>
    <w:p w14:paraId="6920BE39" w14:textId="77777777" w:rsidR="003977AD" w:rsidRPr="003977AD" w:rsidRDefault="003977AD" w:rsidP="003977A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3D566E"/>
          <w:sz w:val="26"/>
          <w:szCs w:val="26"/>
        </w:rPr>
      </w:pPr>
      <w:r w:rsidRPr="003977AD">
        <w:rPr>
          <w:rFonts w:eastAsiaTheme="majorEastAsia" w:cstheme="majorBidi"/>
          <w:b/>
          <w:bCs/>
          <w:color w:val="3D566E"/>
          <w:sz w:val="26"/>
          <w:szCs w:val="26"/>
        </w:rPr>
        <w:t>Un statut d’étudiant garanti</w:t>
      </w:r>
    </w:p>
    <w:p w14:paraId="282E8453" w14:textId="77777777" w:rsidR="003977AD" w:rsidRPr="003977AD" w:rsidRDefault="003977AD" w:rsidP="003977AD">
      <w:pPr>
        <w:spacing w:after="120" w:line="240" w:lineRule="auto"/>
        <w:jc w:val="both"/>
      </w:pPr>
      <w:r w:rsidRPr="003977AD">
        <w:t xml:space="preserve">L’étudiant en césure est bien inscrit dans la formation qui l’a accepté, et bénéficie du statut étudiant pendant toute sa période de césure. </w:t>
      </w:r>
    </w:p>
    <w:p w14:paraId="1B97220C" w14:textId="3300E658" w:rsidR="003977AD" w:rsidRPr="003977AD" w:rsidRDefault="003977AD" w:rsidP="003977AD">
      <w:pPr>
        <w:spacing w:after="120" w:line="240" w:lineRule="auto"/>
        <w:jc w:val="both"/>
      </w:pPr>
      <w:r w:rsidRPr="003977AD">
        <w:t xml:space="preserve">Le président ou directeur d’établissement peut décider le maintien du droit à la </w:t>
      </w:r>
      <w:r w:rsidR="00D32088">
        <w:t>bourse pendant cette période.</w:t>
      </w:r>
    </w:p>
    <w:p w14:paraId="33B35F63" w14:textId="726A4236" w:rsidR="006E1E42" w:rsidRPr="00DC01DB" w:rsidRDefault="006E1E42" w:rsidP="003977AD">
      <w:pPr>
        <w:jc w:val="center"/>
        <w:rPr>
          <w:rFonts w:eastAsiaTheme="minorEastAsia" w:cs="Arial"/>
          <w:szCs w:val="20"/>
          <w:lang w:eastAsia="fr-FR"/>
        </w:rPr>
      </w:pPr>
    </w:p>
    <w:sectPr w:rsidR="006E1E42" w:rsidRPr="00DC01DB" w:rsidSect="008E42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63A0" w14:textId="77777777" w:rsidR="00D1443D" w:rsidRDefault="00D1443D" w:rsidP="00B10FF5">
      <w:pPr>
        <w:spacing w:after="0" w:line="240" w:lineRule="auto"/>
      </w:pPr>
      <w:r>
        <w:separator/>
      </w:r>
    </w:p>
  </w:endnote>
  <w:endnote w:type="continuationSeparator" w:id="0">
    <w:p w14:paraId="433ED704" w14:textId="77777777" w:rsidR="00D1443D" w:rsidRDefault="00D1443D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6B90" w14:textId="27B75AE3" w:rsidR="00B10FF5" w:rsidRDefault="008E42CB" w:rsidP="00B10FF5">
    <w:pPr>
      <w:pStyle w:val="Pieddepage"/>
      <w:jc w:val="center"/>
    </w:pPr>
    <w:r>
      <w:tab/>
    </w:r>
    <w:r w:rsidR="00B10FF5">
      <w:rPr>
        <w:noProof/>
        <w:lang w:eastAsia="fr-FR"/>
      </w:rPr>
      <w:drawing>
        <wp:inline distT="0" distB="0" distL="0" distR="0" wp14:anchorId="2466DC0B" wp14:editId="191449D2">
          <wp:extent cx="2231390" cy="3962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330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362E" w14:textId="77777777" w:rsidR="00D1443D" w:rsidRDefault="00D1443D" w:rsidP="00B10FF5">
      <w:pPr>
        <w:spacing w:after="0" w:line="240" w:lineRule="auto"/>
      </w:pPr>
      <w:r>
        <w:separator/>
      </w:r>
    </w:p>
  </w:footnote>
  <w:footnote w:type="continuationSeparator" w:id="0">
    <w:p w14:paraId="3CFFCFB9" w14:textId="77777777" w:rsidR="00D1443D" w:rsidRDefault="00D1443D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1B8B" w14:textId="6BCED2AC" w:rsidR="00FD4977" w:rsidRPr="00FD4977" w:rsidRDefault="00FD4977" w:rsidP="00FD4977">
    <w:pPr>
      <w:ind w:right="-1276"/>
      <w:rPr>
        <w:b/>
        <w:color w:val="142E8F"/>
        <w:sz w:val="36"/>
      </w:rPr>
    </w:pPr>
    <w:r w:rsidRPr="00351662">
      <w:rPr>
        <w:noProof/>
        <w:color w:val="2A556E"/>
        <w:sz w:val="36"/>
        <w:lang w:eastAsia="fr-FR"/>
      </w:rPr>
      <w:drawing>
        <wp:anchor distT="0" distB="0" distL="114300" distR="114300" simplePos="0" relativeHeight="251658240" behindDoc="1" locked="0" layoutInCell="1" allowOverlap="1" wp14:anchorId="4E8B4026" wp14:editId="7B8A06DC">
          <wp:simplePos x="0" y="0"/>
          <wp:positionH relativeFrom="column">
            <wp:posOffset>1210708</wp:posOffset>
          </wp:positionH>
          <wp:positionV relativeFrom="paragraph">
            <wp:posOffset>-509270</wp:posOffset>
          </wp:positionV>
          <wp:extent cx="3544366" cy="1260777"/>
          <wp:effectExtent l="0" t="0" r="0" b="0"/>
          <wp:wrapNone/>
          <wp:docPr id="3" name="Image 3" descr="parcoursup_ele01_logos/logo_parcoursup_ecrans/parcoursup_rvb_sig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oursup_ele01_logos/logo_parcoursup_ecrans/parcoursup_rvb_sig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66" cy="126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20" w:rsidRPr="00351662">
      <w:rPr>
        <w:b/>
        <w:color w:val="2A556E"/>
        <w:sz w:val="36"/>
      </w:rPr>
      <w:t xml:space="preserve">FICHE </w:t>
    </w:r>
    <w:r w:rsidR="00606FBB">
      <w:rPr>
        <w:b/>
        <w:color w:val="2A556E"/>
        <w:sz w:val="36"/>
      </w:rPr>
      <w:t>7</w:t>
    </w:r>
    <w:r w:rsidR="00802020" w:rsidRPr="00802020">
      <w:rPr>
        <w:sz w:val="36"/>
      </w:rPr>
      <w:t xml:space="preserve"> </w:t>
    </w:r>
    <w:r>
      <w:rPr>
        <w:sz w:val="36"/>
      </w:rPr>
      <w:t xml:space="preserve">                                                                            </w:t>
    </w:r>
  </w:p>
  <w:p w14:paraId="3490D85A" w14:textId="015DF249" w:rsidR="00B10FF5" w:rsidRDefault="00B10FF5" w:rsidP="008020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C2718"/>
    <w:multiLevelType w:val="hybridMultilevel"/>
    <w:tmpl w:val="058C4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325EC6"/>
    <w:multiLevelType w:val="hybridMultilevel"/>
    <w:tmpl w:val="1B54A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C1C14"/>
    <w:multiLevelType w:val="hybridMultilevel"/>
    <w:tmpl w:val="1DB05402"/>
    <w:lvl w:ilvl="0" w:tplc="F8BE4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B1843"/>
    <w:multiLevelType w:val="hybridMultilevel"/>
    <w:tmpl w:val="DB4A5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A944EB"/>
    <w:multiLevelType w:val="hybridMultilevel"/>
    <w:tmpl w:val="76843E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F3312"/>
    <w:multiLevelType w:val="hybridMultilevel"/>
    <w:tmpl w:val="CB504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16060"/>
    <w:multiLevelType w:val="hybridMultilevel"/>
    <w:tmpl w:val="14C66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34439"/>
    <w:multiLevelType w:val="hybridMultilevel"/>
    <w:tmpl w:val="E2403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54A68"/>
    <w:multiLevelType w:val="hybridMultilevel"/>
    <w:tmpl w:val="7F58D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85E43"/>
    <w:multiLevelType w:val="hybridMultilevel"/>
    <w:tmpl w:val="6D468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152D7"/>
    <w:multiLevelType w:val="hybridMultilevel"/>
    <w:tmpl w:val="2FBCB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E5923"/>
    <w:multiLevelType w:val="hybridMultilevel"/>
    <w:tmpl w:val="4BA09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7"/>
  </w:num>
  <w:num w:numId="4">
    <w:abstractNumId w:val="26"/>
  </w:num>
  <w:num w:numId="5">
    <w:abstractNumId w:val="32"/>
  </w:num>
  <w:num w:numId="6">
    <w:abstractNumId w:val="1"/>
  </w:num>
  <w:num w:numId="7">
    <w:abstractNumId w:val="3"/>
  </w:num>
  <w:num w:numId="8">
    <w:abstractNumId w:val="0"/>
  </w:num>
  <w:num w:numId="9">
    <w:abstractNumId w:val="36"/>
  </w:num>
  <w:num w:numId="10">
    <w:abstractNumId w:val="39"/>
  </w:num>
  <w:num w:numId="11">
    <w:abstractNumId w:val="11"/>
  </w:num>
  <w:num w:numId="12">
    <w:abstractNumId w:val="20"/>
  </w:num>
  <w:num w:numId="13">
    <w:abstractNumId w:val="9"/>
  </w:num>
  <w:num w:numId="14">
    <w:abstractNumId w:val="33"/>
  </w:num>
  <w:num w:numId="15">
    <w:abstractNumId w:val="5"/>
  </w:num>
  <w:num w:numId="16">
    <w:abstractNumId w:val="22"/>
  </w:num>
  <w:num w:numId="17">
    <w:abstractNumId w:val="25"/>
  </w:num>
  <w:num w:numId="18">
    <w:abstractNumId w:val="2"/>
  </w:num>
  <w:num w:numId="19">
    <w:abstractNumId w:val="34"/>
  </w:num>
  <w:num w:numId="20">
    <w:abstractNumId w:val="13"/>
  </w:num>
  <w:num w:numId="21">
    <w:abstractNumId w:val="7"/>
  </w:num>
  <w:num w:numId="22">
    <w:abstractNumId w:val="15"/>
  </w:num>
  <w:num w:numId="23">
    <w:abstractNumId w:val="31"/>
  </w:num>
  <w:num w:numId="24">
    <w:abstractNumId w:val="40"/>
  </w:num>
  <w:num w:numId="25">
    <w:abstractNumId w:val="17"/>
  </w:num>
  <w:num w:numId="26">
    <w:abstractNumId w:val="10"/>
  </w:num>
  <w:num w:numId="27">
    <w:abstractNumId w:val="28"/>
  </w:num>
  <w:num w:numId="28">
    <w:abstractNumId w:val="19"/>
  </w:num>
  <w:num w:numId="29">
    <w:abstractNumId w:val="6"/>
  </w:num>
  <w:num w:numId="30">
    <w:abstractNumId w:val="8"/>
  </w:num>
  <w:num w:numId="31">
    <w:abstractNumId w:val="30"/>
  </w:num>
  <w:num w:numId="32">
    <w:abstractNumId w:val="23"/>
  </w:num>
  <w:num w:numId="33">
    <w:abstractNumId w:val="27"/>
  </w:num>
  <w:num w:numId="34">
    <w:abstractNumId w:val="38"/>
  </w:num>
  <w:num w:numId="35">
    <w:abstractNumId w:val="35"/>
  </w:num>
  <w:num w:numId="36">
    <w:abstractNumId w:val="12"/>
  </w:num>
  <w:num w:numId="37">
    <w:abstractNumId w:val="18"/>
  </w:num>
  <w:num w:numId="38">
    <w:abstractNumId w:val="4"/>
  </w:num>
  <w:num w:numId="39">
    <w:abstractNumId w:val="21"/>
  </w:num>
  <w:num w:numId="40">
    <w:abstractNumId w:val="29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1697B"/>
    <w:rsid w:val="00050CBB"/>
    <w:rsid w:val="000860EB"/>
    <w:rsid w:val="000966BA"/>
    <w:rsid w:val="000B5248"/>
    <w:rsid w:val="000D4AE0"/>
    <w:rsid w:val="0015675E"/>
    <w:rsid w:val="00166F63"/>
    <w:rsid w:val="00202742"/>
    <w:rsid w:val="0022375E"/>
    <w:rsid w:val="00264F8B"/>
    <w:rsid w:val="00293BD3"/>
    <w:rsid w:val="002B515B"/>
    <w:rsid w:val="002B74CE"/>
    <w:rsid w:val="002E5A35"/>
    <w:rsid w:val="00300390"/>
    <w:rsid w:val="0033697F"/>
    <w:rsid w:val="00351662"/>
    <w:rsid w:val="00373352"/>
    <w:rsid w:val="00393BD0"/>
    <w:rsid w:val="00394ADA"/>
    <w:rsid w:val="003977AD"/>
    <w:rsid w:val="003D186C"/>
    <w:rsid w:val="003F13DC"/>
    <w:rsid w:val="0041677E"/>
    <w:rsid w:val="00417C05"/>
    <w:rsid w:val="00433017"/>
    <w:rsid w:val="00464803"/>
    <w:rsid w:val="004A1D4E"/>
    <w:rsid w:val="004D0DFF"/>
    <w:rsid w:val="00502022"/>
    <w:rsid w:val="00511283"/>
    <w:rsid w:val="00532AAD"/>
    <w:rsid w:val="0054784E"/>
    <w:rsid w:val="00557E08"/>
    <w:rsid w:val="005756C0"/>
    <w:rsid w:val="00581176"/>
    <w:rsid w:val="00587E90"/>
    <w:rsid w:val="00606FBB"/>
    <w:rsid w:val="006335E9"/>
    <w:rsid w:val="00690EC1"/>
    <w:rsid w:val="006E1E42"/>
    <w:rsid w:val="006F5EE5"/>
    <w:rsid w:val="00742C22"/>
    <w:rsid w:val="00783098"/>
    <w:rsid w:val="007A0D77"/>
    <w:rsid w:val="007D3086"/>
    <w:rsid w:val="007E0D04"/>
    <w:rsid w:val="007F4451"/>
    <w:rsid w:val="00802020"/>
    <w:rsid w:val="00832177"/>
    <w:rsid w:val="00874718"/>
    <w:rsid w:val="008E42CB"/>
    <w:rsid w:val="008E56E7"/>
    <w:rsid w:val="0090789C"/>
    <w:rsid w:val="00930FD0"/>
    <w:rsid w:val="009329FD"/>
    <w:rsid w:val="009B6592"/>
    <w:rsid w:val="00A002F5"/>
    <w:rsid w:val="00A23469"/>
    <w:rsid w:val="00A35538"/>
    <w:rsid w:val="00A71C5B"/>
    <w:rsid w:val="00AC6BC1"/>
    <w:rsid w:val="00B10FF5"/>
    <w:rsid w:val="00B56063"/>
    <w:rsid w:val="00B93D0E"/>
    <w:rsid w:val="00BA359A"/>
    <w:rsid w:val="00BD6D0F"/>
    <w:rsid w:val="00C05B3F"/>
    <w:rsid w:val="00C17421"/>
    <w:rsid w:val="00C765F2"/>
    <w:rsid w:val="00D1443D"/>
    <w:rsid w:val="00D32088"/>
    <w:rsid w:val="00D5047A"/>
    <w:rsid w:val="00D64ED8"/>
    <w:rsid w:val="00D77992"/>
    <w:rsid w:val="00D913F2"/>
    <w:rsid w:val="00DA2D42"/>
    <w:rsid w:val="00DC01DB"/>
    <w:rsid w:val="00DF07B2"/>
    <w:rsid w:val="00E064A3"/>
    <w:rsid w:val="00E320CD"/>
    <w:rsid w:val="00E43D80"/>
    <w:rsid w:val="00E45CDA"/>
    <w:rsid w:val="00F24B86"/>
    <w:rsid w:val="00F727C9"/>
    <w:rsid w:val="00F72AFE"/>
    <w:rsid w:val="00F84A35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2870-CE66-43FF-828F-DF57C091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5</cp:revision>
  <cp:lastPrinted>2017-12-19T11:14:00Z</cp:lastPrinted>
  <dcterms:created xsi:type="dcterms:W3CDTF">2017-12-20T12:57:00Z</dcterms:created>
  <dcterms:modified xsi:type="dcterms:W3CDTF">2017-12-21T17:56:00Z</dcterms:modified>
</cp:coreProperties>
</file>